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2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131"/>
        <w:gridCol w:w="5340"/>
        <w:gridCol w:w="1110"/>
        <w:gridCol w:w="99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名     称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规格型号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购置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技术要求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用 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Waters Connect Setup Solution -TQ XS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与waters液质仪相匹配，货号：186010263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Waters  超高效液相色谱进样针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与waters液质仪相匹配，货号：700005215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原子荧光仪砷灯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原子荧光仪硒灯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原子荧光仪锡灯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原子荧光仪锑灯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原子荧光仪汞灯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北京吉天仪器公司,301000039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原子荧光仪载流泵管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北京吉天仪器公司，201000124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原子荧光仪排废泵管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北京吉天仪器公司，201000122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原子荧光仪还原剂泵管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北京吉天仪器公司，201000127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原子荧光仪卡片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北京吉天仪器公司，20100341031MT-A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4件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国产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火焰雾化器撞击球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ICP-MS采样锥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与安捷伦7700 ICP-MS适配，镍锥G3280-67040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ICP-MS截取锥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与安捷伦7700 ICP-MS适配，镍锥G3280-67041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银空心阴极灯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钾空心阴极灯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钠空心阴极灯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镁空心阴极灯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铁空心阴极灯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锌空心阴极灯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实验托板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与铂金埃尔默900T原子吸收光谱仪适配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风险监测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SYEINGE*GAS TIGHT 1.0 ML 注射器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液质仪相匹配，货号：10615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NEEDLE*SYRINGE KF (PKG OF 6) 注射器吸样针 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与AB SCIEX  液质仪相匹配， 货号：1005819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Fitting PEEK Adapter 注射器接头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液质仪相匹配，货号：5042735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PEEK Fitting 10-32 X1/16 Inch PEEK 头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液质仪相匹配，货号：16325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Red Peek Tubing 1/16红色PEEK管 1米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与AB SCIEX  液质仪相匹配， 货号：16316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Major Mix IMS/Tof Calibration Kit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与waters液质仪相匹配，货号：186008113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TOF G2-S Sample Kit -1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与waters液质仪相匹配，货号：700008842 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LC-30AD液相排液阀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 与岛津LC-30AD仪相匹配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进口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 xml:space="preserve">CNAS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color w:val="333333"/>
                <w:kern w:val="0"/>
                <w:sz w:val="32"/>
                <w:szCs w:val="32"/>
                <w:lang w:val="en-US" w:eastAsia="zh-CN"/>
              </w:rPr>
              <w:t>计划资金合计：8.4960万元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YWYwN2Q4NDExMGJkYTQ2ZTBkNTk2ZWFiYTA1MDMifQ=="/>
  </w:docVars>
  <w:rsids>
    <w:rsidRoot w:val="187628CC"/>
    <w:rsid w:val="07700EC8"/>
    <w:rsid w:val="0D050D21"/>
    <w:rsid w:val="187628CC"/>
    <w:rsid w:val="359C5B1B"/>
    <w:rsid w:val="365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2024-04-11T02:00:00Z</dcterms:created>
  <dc:creator>苟忠林</dc:creator>
  <cp:lastModifiedBy>苟忠林</cp:lastModifiedBy>
  <dcterms:modified xsi:type="dcterms:W3CDTF">2024-04-11T02:05:09Z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6FF427EFCB124888A8770ED48E120C14_11</vt:lpwstr>
  </property>
</Properties>
</file>